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B6EA8E" w14:textId="77777777" w:rsidR="005E4C24" w:rsidRDefault="005E4C24" w:rsidP="005E4C24">
      <w:pPr>
        <w:pStyle w:val="Title"/>
      </w:pPr>
      <w:bookmarkStart w:id="0" w:name="_GoBack"/>
      <w:r>
        <w:t>Education for sustainability and education outside the classroom</w:t>
      </w:r>
    </w:p>
    <w:bookmarkEnd w:id="0"/>
    <w:p w14:paraId="57513BED" w14:textId="77777777" w:rsidR="005E4C24" w:rsidRDefault="005E4C24" w:rsidP="005E4C24">
      <w:r>
        <w:t>Education for sustainability (</w:t>
      </w:r>
      <w:proofErr w:type="spellStart"/>
      <w:r>
        <w:t>EfS</w:t>
      </w:r>
      <w:proofErr w:type="spellEnd"/>
      <w:r>
        <w:t xml:space="preserve">) </w:t>
      </w:r>
      <w:r w:rsidRPr="00CA0D3D">
        <w:t>is learning to think and act in ways that will safeguard the future well-b</w:t>
      </w:r>
      <w:r>
        <w:t>eing of people and our planet. I</w:t>
      </w:r>
      <w:r w:rsidRPr="00CA0D3D">
        <w:t>t</w:t>
      </w:r>
      <w:r>
        <w:t>’</w:t>
      </w:r>
      <w:r w:rsidRPr="00CA0D3D">
        <w:t xml:space="preserve">s about </w:t>
      </w:r>
      <w:r>
        <w:t>maintaining an expectation of, and facilitating learning</w:t>
      </w:r>
      <w:r w:rsidRPr="00CA0D3D">
        <w:t xml:space="preserve"> that empowers students to participate in taking informed action</w:t>
      </w:r>
      <w:r>
        <w:rPr>
          <w:rStyle w:val="FootnoteReference"/>
          <w:rFonts w:cs="Tahoma"/>
        </w:rPr>
        <w:footnoteReference w:id="1"/>
      </w:r>
      <w:r w:rsidRPr="00CA0D3D">
        <w:t>.</w:t>
      </w:r>
      <w:r>
        <w:t xml:space="preserve"> </w:t>
      </w:r>
      <w:r w:rsidRPr="00CA0D3D">
        <w:t>Research into teaching and learning in education for sustainability</w:t>
      </w:r>
      <w:r w:rsidRPr="00CA0D3D">
        <w:rPr>
          <w:rStyle w:val="FootnoteReference"/>
          <w:rFonts w:cs="Tahoma"/>
        </w:rPr>
        <w:footnoteReference w:id="2"/>
      </w:r>
      <w:r w:rsidRPr="00CA0D3D">
        <w:t xml:space="preserve"> has shown that an action orientation brings to life the key competencies of </w:t>
      </w:r>
      <w:r w:rsidRPr="001475BE">
        <w:rPr>
          <w:i/>
        </w:rPr>
        <w:t xml:space="preserve">The </w:t>
      </w:r>
      <w:r w:rsidRPr="00BD30F1">
        <w:rPr>
          <w:i/>
        </w:rPr>
        <w:t>New Zealand Curriculum</w:t>
      </w:r>
      <w:r>
        <w:t xml:space="preserve"> (p.12), as it requires </w:t>
      </w:r>
      <w:r w:rsidRPr="00CA0D3D">
        <w:t xml:space="preserve">students </w:t>
      </w:r>
      <w:r>
        <w:t xml:space="preserve">to </w:t>
      </w:r>
      <w:r w:rsidRPr="00CA0D3D">
        <w:t xml:space="preserve">combine </w:t>
      </w:r>
      <w:r w:rsidRPr="00474DEB">
        <w:rPr>
          <w:i/>
        </w:rPr>
        <w:t>knowledge and understanding,</w:t>
      </w:r>
      <w:r>
        <w:t xml:space="preserve"> </w:t>
      </w:r>
      <w:r w:rsidRPr="00066576">
        <w:rPr>
          <w:i/>
        </w:rPr>
        <w:t>attitudes</w:t>
      </w:r>
      <w:r>
        <w:rPr>
          <w:i/>
        </w:rPr>
        <w:t>,</w:t>
      </w:r>
      <w:r w:rsidRPr="00066576">
        <w:rPr>
          <w:i/>
        </w:rPr>
        <w:t xml:space="preserve"> and values in ways that lead to action</w:t>
      </w:r>
      <w:r>
        <w:t xml:space="preserve">. </w:t>
      </w:r>
      <w:r w:rsidRPr="00CA0D3D">
        <w:t xml:space="preserve">In </w:t>
      </w:r>
      <w:proofErr w:type="spellStart"/>
      <w:r>
        <w:t>EfS</w:t>
      </w:r>
      <w:proofErr w:type="spellEnd"/>
      <w:r>
        <w:t xml:space="preserve"> terms</w:t>
      </w:r>
      <w:r w:rsidRPr="00CA0D3D">
        <w:t>, this is about develop</w:t>
      </w:r>
      <w:r>
        <w:t xml:space="preserve">ing student action competence. </w:t>
      </w:r>
      <w:r w:rsidRPr="00CA0D3D">
        <w:t xml:space="preserve">Action competence is the heart of </w:t>
      </w:r>
      <w:proofErr w:type="spellStart"/>
      <w:r>
        <w:t>EfS</w:t>
      </w:r>
      <w:proofErr w:type="spellEnd"/>
      <w:r>
        <w:t>,</w:t>
      </w:r>
      <w:r w:rsidRPr="00CA0D3D">
        <w:t xml:space="preserve"> and interweaves knowledge, learning how to learn and applying learning </w:t>
      </w:r>
      <w:r>
        <w:t xml:space="preserve">in </w:t>
      </w:r>
      <w:r w:rsidRPr="00CA0D3D">
        <w:t>authentic context</w:t>
      </w:r>
      <w:r>
        <w:t>s</w:t>
      </w:r>
      <w:r>
        <w:rPr>
          <w:rStyle w:val="FootnoteReference"/>
          <w:rFonts w:cs="Tahoma"/>
        </w:rPr>
        <w:footnoteReference w:id="3"/>
      </w:r>
      <w:r w:rsidRPr="00CA0D3D">
        <w:t xml:space="preserve">. </w:t>
      </w:r>
    </w:p>
    <w:p w14:paraId="6274D421" w14:textId="77777777" w:rsidR="005E4C24" w:rsidRDefault="005E4C24" w:rsidP="005E4C24">
      <w:r w:rsidRPr="00CA0D3D">
        <w:t>Education outside the classroom</w:t>
      </w:r>
      <w:r>
        <w:t xml:space="preserve"> (EOTC)</w:t>
      </w:r>
      <w:r w:rsidRPr="00CA0D3D">
        <w:t xml:space="preserve"> contrib</w:t>
      </w:r>
      <w:r>
        <w:t>utes</w:t>
      </w:r>
      <w:r w:rsidRPr="00CA0D3D">
        <w:t xml:space="preserve"> to </w:t>
      </w:r>
      <w:r>
        <w:t>the</w:t>
      </w:r>
      <w:r w:rsidRPr="00CA0D3D">
        <w:t xml:space="preserve"> goal of action competence in </w:t>
      </w:r>
      <w:proofErr w:type="spellStart"/>
      <w:r>
        <w:t>EfS</w:t>
      </w:r>
      <w:proofErr w:type="spellEnd"/>
      <w:r w:rsidRPr="00CA0D3D">
        <w:t xml:space="preserve">. </w:t>
      </w:r>
      <w:r>
        <w:t>S</w:t>
      </w:r>
      <w:r w:rsidRPr="00CA0D3D">
        <w:t xml:space="preserve">ix aspects of action competence </w:t>
      </w:r>
      <w:r>
        <w:t>have been</w:t>
      </w:r>
      <w:r w:rsidRPr="00CA0D3D">
        <w:t xml:space="preserve"> identified: experience, reflection, knowledge, vision for a sustainable future, taking action for a sustainable future</w:t>
      </w:r>
      <w:r>
        <w:t>,</w:t>
      </w:r>
      <w:r w:rsidRPr="00CA0D3D">
        <w:t xml:space="preserve"> and connectedness.</w:t>
      </w:r>
      <w:r>
        <w:t xml:space="preserve"> </w:t>
      </w:r>
      <w:r w:rsidRPr="00CA0D3D">
        <w:t>E</w:t>
      </w:r>
      <w:r>
        <w:t xml:space="preserve">OTC </w:t>
      </w:r>
      <w:r w:rsidRPr="001931A9">
        <w:rPr>
          <w:i/>
        </w:rPr>
        <w:t>experiences</w:t>
      </w:r>
      <w:r w:rsidRPr="00CA0D3D">
        <w:t xml:space="preserve"> are critical in </w:t>
      </w:r>
      <w:r>
        <w:t>enabling</w:t>
      </w:r>
      <w:r w:rsidRPr="00CA0D3D">
        <w:t xml:space="preserve"> students to</w:t>
      </w:r>
      <w:r>
        <w:t xml:space="preserve"> explore, examine, and</w:t>
      </w:r>
      <w:r w:rsidRPr="00CA0D3D">
        <w:t xml:space="preserve"> </w:t>
      </w:r>
      <w:r>
        <w:t>investigate the environment, and through</w:t>
      </w:r>
      <w:r w:rsidRPr="00CA0D3D">
        <w:t xml:space="preserve"> planned and guided </w:t>
      </w:r>
      <w:r w:rsidRPr="00CA0D3D">
        <w:rPr>
          <w:i/>
        </w:rPr>
        <w:t>reflection</w:t>
      </w:r>
      <w:r w:rsidRPr="00CA0D3D">
        <w:t xml:space="preserve"> develop important understandings and </w:t>
      </w:r>
      <w:r w:rsidRPr="004D726E">
        <w:rPr>
          <w:i/>
        </w:rPr>
        <w:t>knowledge</w:t>
      </w:r>
      <w:r w:rsidRPr="00CA0D3D">
        <w:t xml:space="preserve">. Having a range of </w:t>
      </w:r>
      <w:r w:rsidRPr="004D726E">
        <w:rPr>
          <w:i/>
        </w:rPr>
        <w:t>experiences</w:t>
      </w:r>
      <w:r w:rsidRPr="00CA0D3D">
        <w:t xml:space="preserve"> in </w:t>
      </w:r>
      <w:r>
        <w:t>the</w:t>
      </w:r>
      <w:r w:rsidRPr="00CA0D3D">
        <w:t xml:space="preserve"> environment is known to engage students,</w:t>
      </w:r>
      <w:r>
        <w:t xml:space="preserve"> build skills,</w:t>
      </w:r>
      <w:r w:rsidRPr="00CA0D3D">
        <w:t xml:space="preserve"> </w:t>
      </w:r>
      <w:r>
        <w:t>grow</w:t>
      </w:r>
      <w:r w:rsidRPr="00CA0D3D">
        <w:t xml:space="preserve"> commitmen</w:t>
      </w:r>
      <w:r>
        <w:t xml:space="preserve">t and </w:t>
      </w:r>
      <w:r w:rsidRPr="004D726E">
        <w:rPr>
          <w:i/>
        </w:rPr>
        <w:t>connectedness</w:t>
      </w:r>
      <w:r w:rsidRPr="00CA0D3D">
        <w:t xml:space="preserve"> </w:t>
      </w:r>
      <w:r>
        <w:t xml:space="preserve">to support </w:t>
      </w:r>
      <w:r w:rsidRPr="004D726E">
        <w:rPr>
          <w:i/>
        </w:rPr>
        <w:t xml:space="preserve">action </w:t>
      </w:r>
      <w:r>
        <w:rPr>
          <w:i/>
        </w:rPr>
        <w:t xml:space="preserve">taking </w:t>
      </w:r>
      <w:r w:rsidRPr="004D726E">
        <w:rPr>
          <w:i/>
        </w:rPr>
        <w:t>for a sustainable future</w:t>
      </w:r>
      <w:r w:rsidRPr="00CA0D3D">
        <w:t xml:space="preserve">.  </w:t>
      </w:r>
    </w:p>
    <w:p w14:paraId="36FAD872" w14:textId="77777777" w:rsidR="005E4C24" w:rsidRDefault="005E4C24" w:rsidP="005E4C24">
      <w:r w:rsidRPr="00CA0D3D">
        <w:t xml:space="preserve">Being in the environment also </w:t>
      </w:r>
      <w:r>
        <w:t>provides opportunities for students to</w:t>
      </w:r>
      <w:r w:rsidRPr="00CA0D3D">
        <w:t xml:space="preserve"> experience </w:t>
      </w:r>
      <w:r>
        <w:t xml:space="preserve">a </w:t>
      </w:r>
      <w:r w:rsidRPr="00CA0D3D">
        <w:t>divers</w:t>
      </w:r>
      <w:r>
        <w:t>ity of</w:t>
      </w:r>
      <w:r w:rsidRPr="00CA0D3D">
        <w:t xml:space="preserve"> views</w:t>
      </w:r>
      <w:r>
        <w:t>,</w:t>
      </w:r>
      <w:r w:rsidRPr="00CA0D3D">
        <w:t xml:space="preserve"> learn to evaluate differing valu</w:t>
      </w:r>
      <w:r>
        <w:t xml:space="preserve">es and opinions with consideration of </w:t>
      </w:r>
      <w:r w:rsidRPr="00CA0D3D">
        <w:t>sustainability</w:t>
      </w:r>
      <w:r>
        <w:t xml:space="preserve"> from four key angles or aspects: the </w:t>
      </w:r>
      <w:r w:rsidRPr="00CA0D3D">
        <w:t>environmental, cultural, social</w:t>
      </w:r>
      <w:r>
        <w:t>,</w:t>
      </w:r>
      <w:r w:rsidRPr="00CA0D3D">
        <w:t xml:space="preserve"> and economic</w:t>
      </w:r>
      <w:r>
        <w:rPr>
          <w:rStyle w:val="FootnoteReference"/>
          <w:rFonts w:cs="Tahoma"/>
        </w:rPr>
        <w:footnoteReference w:id="4"/>
      </w:r>
      <w:r w:rsidRPr="00CA0D3D">
        <w:t>.</w:t>
      </w:r>
      <w:r>
        <w:t xml:space="preserve"> These aspects take the view that people are part of the environment and therefore environmental and sustainability issues are deeply rooted in society. </w:t>
      </w:r>
      <w:r w:rsidRPr="00CA0D3D">
        <w:t xml:space="preserve">One of the greatest challenges we face today is people’s disconnection </w:t>
      </w:r>
      <w:r>
        <w:t>from</w:t>
      </w:r>
      <w:r w:rsidRPr="00CA0D3D">
        <w:t xml:space="preserve"> the environmen</w:t>
      </w:r>
      <w:r>
        <w:t xml:space="preserve">t and how this manifests in environmental issues within society. For example, do students </w:t>
      </w:r>
      <w:r w:rsidRPr="00CA0D3D">
        <w:t xml:space="preserve">know where </w:t>
      </w:r>
      <w:r>
        <w:t>their</w:t>
      </w:r>
      <w:r w:rsidRPr="00CA0D3D">
        <w:t xml:space="preserve"> water comes from</w:t>
      </w:r>
      <w:r>
        <w:t>, or where it</w:t>
      </w:r>
      <w:r w:rsidRPr="00CA0D3D">
        <w:t xml:space="preserve"> end</w:t>
      </w:r>
      <w:r>
        <w:t>s</w:t>
      </w:r>
      <w:r w:rsidRPr="00CA0D3D">
        <w:t xml:space="preserve"> up once </w:t>
      </w:r>
      <w:r>
        <w:t>they’</w:t>
      </w:r>
      <w:r w:rsidRPr="00CA0D3D">
        <w:t xml:space="preserve">ve used it? </w:t>
      </w:r>
      <w:r>
        <w:t xml:space="preserve">How well do they understand the processes that enable them to eat a ham sandwich for lunch? More simply for young students, it may </w:t>
      </w:r>
      <w:proofErr w:type="gramStart"/>
      <w:r>
        <w:t>be knowing</w:t>
      </w:r>
      <w:proofErr w:type="gramEnd"/>
      <w:r>
        <w:t xml:space="preserve"> that milk comes from a cow as opposed to the supermarket. </w:t>
      </w:r>
    </w:p>
    <w:p w14:paraId="504E5AD0" w14:textId="77777777" w:rsidR="005E4C24" w:rsidRDefault="005E4C24" w:rsidP="005E4C24">
      <w:r w:rsidRPr="00CA0D3D">
        <w:t xml:space="preserve">EOTC is vital in enabling </w:t>
      </w:r>
      <w:r>
        <w:t xml:space="preserve">a re-connection between people and the environment </w:t>
      </w:r>
      <w:r w:rsidRPr="00CA0D3D">
        <w:t xml:space="preserve">and the world </w:t>
      </w:r>
      <w:r>
        <w:t>they live in. The</w:t>
      </w:r>
      <w:r w:rsidRPr="00CA0D3D">
        <w:t xml:space="preserve"> notion of connectedness is especially relevant with respect to M</w:t>
      </w:r>
      <w:r w:rsidRPr="00CA0D3D">
        <w:rPr>
          <w:rFonts w:ascii="Times New Roman" w:hAnsi="Times New Roman"/>
        </w:rPr>
        <w:t>ā</w:t>
      </w:r>
      <w:r w:rsidRPr="00CA0D3D">
        <w:t xml:space="preserve">ori perspectives of the environment where </w:t>
      </w:r>
      <w:r>
        <w:t xml:space="preserve">all life is interconnected through ancestry and whakapapa, as children of </w:t>
      </w:r>
      <w:proofErr w:type="spellStart"/>
      <w:r>
        <w:lastRenderedPageBreak/>
        <w:t>Ranganui</w:t>
      </w:r>
      <w:proofErr w:type="spellEnd"/>
      <w:r>
        <w:t xml:space="preserve"> and </w:t>
      </w:r>
      <w:proofErr w:type="spellStart"/>
      <w:r>
        <w:t>Papat</w:t>
      </w:r>
      <w:r>
        <w:rPr>
          <w:rFonts w:ascii="Times New Roman" w:hAnsi="Times New Roman"/>
        </w:rPr>
        <w:t>ūā</w:t>
      </w:r>
      <w:r>
        <w:t>nuku</w:t>
      </w:r>
      <w:proofErr w:type="spellEnd"/>
      <w:r>
        <w:rPr>
          <w:rStyle w:val="FootnoteReference"/>
          <w:rFonts w:cs="Tahoma"/>
        </w:rPr>
        <w:footnoteReference w:id="5"/>
      </w:r>
      <w:r>
        <w:t xml:space="preserve">. Including and developing these perspectives as part of EOTC in </w:t>
      </w:r>
      <w:proofErr w:type="spellStart"/>
      <w:r>
        <w:t>EfS</w:t>
      </w:r>
      <w:proofErr w:type="spellEnd"/>
      <w:r>
        <w:t xml:space="preserve"> needs to be an important facet of learning experiences.</w:t>
      </w:r>
    </w:p>
    <w:p w14:paraId="68FECFC0" w14:textId="77777777" w:rsidR="005E4C24" w:rsidRDefault="005E4C24" w:rsidP="005E4C24">
      <w:r w:rsidRPr="00CA0D3D">
        <w:t xml:space="preserve">Therefore, from </w:t>
      </w:r>
      <w:r>
        <w:t xml:space="preserve">an </w:t>
      </w:r>
      <w:proofErr w:type="spellStart"/>
      <w:r>
        <w:t>EfS</w:t>
      </w:r>
      <w:proofErr w:type="spellEnd"/>
      <w:r>
        <w:t xml:space="preserve"> perspective EOTC should</w:t>
      </w:r>
      <w:r w:rsidRPr="00CA0D3D">
        <w:t xml:space="preserve"> </w:t>
      </w:r>
      <w:r>
        <w:t xml:space="preserve">include an exploration of our relationship to outdoor learning </w:t>
      </w:r>
      <w:r w:rsidRPr="00CA0D3D">
        <w:t>place</w:t>
      </w:r>
      <w:r>
        <w:t>s and consideration of how those places contribute to overall learning outcomes</w:t>
      </w:r>
      <w:r w:rsidRPr="00CA0D3D">
        <w:t>. F</w:t>
      </w:r>
      <w:r>
        <w:t>or some this may be</w:t>
      </w:r>
      <w:r w:rsidRPr="00CA0D3D">
        <w:t xml:space="preserve"> an acknowledgement to the place, deciding on an appropriate ‘care code’ for the exercise</w:t>
      </w:r>
      <w:r>
        <w:t>,</w:t>
      </w:r>
      <w:r w:rsidRPr="00CA0D3D">
        <w:t xml:space="preserve"> and considering these in</w:t>
      </w:r>
      <w:r>
        <w:t xml:space="preserve"> the after activity reflection. At this end of the continuum, learning is focused on sustainable practices – while we are here, how can we ensure minimum impact?</w:t>
      </w:r>
      <w:r w:rsidRPr="00CA0D3D">
        <w:t xml:space="preserve"> </w:t>
      </w:r>
      <w:r>
        <w:t>F</w:t>
      </w:r>
      <w:r w:rsidRPr="00CA0D3D">
        <w:t>or others</w:t>
      </w:r>
      <w:r>
        <w:t>,</w:t>
      </w:r>
      <w:r w:rsidRPr="00CA0D3D">
        <w:t xml:space="preserve"> seeking to understand the place </w:t>
      </w:r>
      <w:r>
        <w:t xml:space="preserve">or environment </w:t>
      </w:r>
      <w:r w:rsidRPr="00CA0D3D">
        <w:t>from multiple perspectives, develop knowledge, understanding</w:t>
      </w:r>
      <w:r>
        <w:t xml:space="preserve"> and skills</w:t>
      </w:r>
      <w:r w:rsidRPr="00CA0D3D">
        <w:t xml:space="preserve"> </w:t>
      </w:r>
      <w:r>
        <w:t xml:space="preserve">in order to take action for a sustainable future will be the </w:t>
      </w:r>
      <w:r w:rsidRPr="00CA0D3D">
        <w:t>foremost purpose for bein</w:t>
      </w:r>
      <w:r>
        <w:t xml:space="preserve">g there. At this end of the continuum, learning is focused on questioning, investigating, and knowing – why are things this way? Is there a sustainable alternative? Can we participate in that alternative or make it happen? </w:t>
      </w:r>
    </w:p>
    <w:p w14:paraId="1274F210" w14:textId="77777777" w:rsidR="005E4C24" w:rsidRDefault="005E4C24" w:rsidP="005E4C24">
      <w:r>
        <w:t xml:space="preserve">Wherever your </w:t>
      </w:r>
      <w:proofErr w:type="spellStart"/>
      <w:r>
        <w:t>programme</w:t>
      </w:r>
      <w:proofErr w:type="spellEnd"/>
      <w:r>
        <w:t xml:space="preserve"> or learning experiences sit on such a</w:t>
      </w:r>
      <w:r w:rsidRPr="00CA0D3D">
        <w:t xml:space="preserve"> continuum</w:t>
      </w:r>
      <w:r>
        <w:t xml:space="preserve">, there’s a challenge with </w:t>
      </w:r>
      <w:r>
        <w:rPr>
          <w:i/>
        </w:rPr>
        <w:t>The EOTC Guidelines: Bringing the Curriculum Alive</w:t>
      </w:r>
      <w:r>
        <w:t xml:space="preserve"> to support students to re-orient their thinking about the environment and sustainability – to take on a longer term view, to show curiosity and concern for the earth, and to develop the ability to make change where it’s needed. This in turn will see us all as being responsible for the choices that will shape the kind of earth handed on to future generations.</w:t>
      </w:r>
    </w:p>
    <w:p w14:paraId="2B770636" w14:textId="77777777" w:rsidR="006E1949" w:rsidRDefault="006E1949"/>
    <w:sectPr w:rsidR="006E1949" w:rsidSect="006E194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D489DE" w14:textId="77777777" w:rsidR="003F6FC4" w:rsidRDefault="003F6FC4" w:rsidP="005E4C24">
      <w:pPr>
        <w:spacing w:after="0" w:line="240" w:lineRule="auto"/>
      </w:pPr>
      <w:r>
        <w:separator/>
      </w:r>
    </w:p>
  </w:endnote>
  <w:endnote w:type="continuationSeparator" w:id="0">
    <w:p w14:paraId="131D805A" w14:textId="77777777" w:rsidR="003F6FC4" w:rsidRDefault="003F6FC4" w:rsidP="005E4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A00002EF" w:usb1="4000207B" w:usb2="00000000" w:usb3="00000000" w:csb0="0000009F" w:csb1="00000000"/>
  </w:font>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2A87" w:usb1="80000000" w:usb2="00000008"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5568E" w14:textId="77777777" w:rsidR="003F6FC4" w:rsidRDefault="003F6FC4">
    <w:pPr>
      <w:pStyle w:val="Footer"/>
    </w:pPr>
    <w:r w:rsidRPr="003F6FC4">
      <w:t>Background information 2. Education for sustainability and education outside the classroom</w:t>
    </w:r>
  </w:p>
  <w:p w14:paraId="01F648F3" w14:textId="77777777" w:rsidR="003F6FC4" w:rsidRDefault="003F6FC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4370A5">
      <w:rPr>
        <w:rStyle w:val="PageNumber"/>
        <w:noProof/>
      </w:rPr>
      <w:t>1</w:t>
    </w:r>
    <w:r>
      <w:rPr>
        <w:rStyle w:val="PageNumber"/>
      </w:rPr>
      <w:fldChar w:fldCharType="end"/>
    </w:r>
    <w:r>
      <w:rPr>
        <w:rStyle w:val="PageNumber"/>
      </w:rPr>
      <w:t xml:space="preserve"> of 2</w:t>
    </w:r>
    <w:r>
      <w:rPr>
        <w:rStyle w:val="PageNumber"/>
      </w:rPr>
      <w:tab/>
    </w:r>
    <w:r>
      <w:rPr>
        <w:rStyle w:val="PageNumber"/>
      </w:rPr>
      <w:tab/>
      <w:t xml:space="preserve">   </w:t>
    </w:r>
    <w:r>
      <w:rPr>
        <w:rStyle w:val="PageNumber"/>
      </w:rPr>
      <w:fldChar w:fldCharType="begin"/>
    </w:r>
    <w:r>
      <w:rPr>
        <w:rStyle w:val="PageNumber"/>
      </w:rPr>
      <w:instrText xml:space="preserve"> DATE \@ "d/MM/yy" </w:instrText>
    </w:r>
    <w:r>
      <w:rPr>
        <w:rStyle w:val="PageNumber"/>
      </w:rPr>
      <w:fldChar w:fldCharType="separate"/>
    </w:r>
    <w:r>
      <w:rPr>
        <w:rStyle w:val="PageNumber"/>
        <w:noProof/>
      </w:rPr>
      <w:t>20/03/12</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361A84" w14:textId="77777777" w:rsidR="003F6FC4" w:rsidRDefault="003F6FC4" w:rsidP="005E4C24">
      <w:pPr>
        <w:spacing w:after="0" w:line="240" w:lineRule="auto"/>
      </w:pPr>
      <w:r>
        <w:separator/>
      </w:r>
    </w:p>
  </w:footnote>
  <w:footnote w:type="continuationSeparator" w:id="0">
    <w:p w14:paraId="58B053F4" w14:textId="77777777" w:rsidR="003F6FC4" w:rsidRDefault="003F6FC4" w:rsidP="005E4C24">
      <w:pPr>
        <w:spacing w:after="0" w:line="240" w:lineRule="auto"/>
      </w:pPr>
      <w:r>
        <w:continuationSeparator/>
      </w:r>
    </w:p>
  </w:footnote>
  <w:footnote w:id="1">
    <w:p w14:paraId="3FF35AE7" w14:textId="77777777" w:rsidR="003F6FC4" w:rsidRDefault="003F6FC4" w:rsidP="005E4C24">
      <w:pPr>
        <w:pStyle w:val="FootnoteText"/>
        <w:ind w:left="357" w:hanging="357"/>
      </w:pPr>
      <w:r w:rsidRPr="00551D7F">
        <w:rPr>
          <w:rStyle w:val="FootnoteReference"/>
          <w:rFonts w:cs="Tahoma"/>
        </w:rPr>
        <w:footnoteRef/>
      </w:r>
      <w:r>
        <w:tab/>
      </w:r>
      <w:r w:rsidRPr="00551D7F">
        <w:t>For more information on ‘taking action’</w:t>
      </w:r>
      <w:r>
        <w:t>,</w:t>
      </w:r>
      <w:r w:rsidRPr="00551D7F">
        <w:t xml:space="preserve"> see http://efs.tki.org.nz/EfS-in-the-curriculum/Taking-action</w:t>
      </w:r>
    </w:p>
  </w:footnote>
  <w:footnote w:id="2">
    <w:p w14:paraId="75F32748" w14:textId="77777777" w:rsidR="003F6FC4" w:rsidRDefault="003F6FC4" w:rsidP="005E4C24">
      <w:pPr>
        <w:pStyle w:val="FootnoteText"/>
        <w:ind w:left="357" w:hanging="357"/>
      </w:pPr>
      <w:r w:rsidRPr="00551D7F">
        <w:rPr>
          <w:rStyle w:val="FootnoteReference"/>
          <w:rFonts w:cs="Tahoma"/>
        </w:rPr>
        <w:footnoteRef/>
      </w:r>
      <w:r w:rsidRPr="00551D7F">
        <w:t xml:space="preserve"> </w:t>
      </w:r>
      <w:r>
        <w:tab/>
      </w:r>
      <w:r w:rsidRPr="00551D7F">
        <w:t>For more information</w:t>
      </w:r>
      <w:r>
        <w:t>,</w:t>
      </w:r>
      <w:r w:rsidRPr="00551D7F">
        <w:t xml:space="preserve"> see http://tlri.org.nz/investigating-the-the-relationship-between-whole-school-approaches-to- education-for-sustainability-and-student-learning</w:t>
      </w:r>
    </w:p>
  </w:footnote>
  <w:footnote w:id="3">
    <w:p w14:paraId="0C36ED6B" w14:textId="77777777" w:rsidR="003F6FC4" w:rsidRDefault="003F6FC4" w:rsidP="005E4C24">
      <w:pPr>
        <w:pStyle w:val="FootnoteText"/>
        <w:ind w:left="357" w:hanging="357"/>
      </w:pPr>
      <w:r w:rsidRPr="00551D7F">
        <w:rPr>
          <w:rStyle w:val="FootnoteReference"/>
          <w:rFonts w:cs="Tahoma"/>
        </w:rPr>
        <w:footnoteRef/>
      </w:r>
      <w:r w:rsidRPr="00551D7F">
        <w:t xml:space="preserve"> </w:t>
      </w:r>
      <w:r>
        <w:tab/>
      </w:r>
      <w:r w:rsidRPr="00551D7F">
        <w:t>For more information</w:t>
      </w:r>
      <w:r>
        <w:t>,</w:t>
      </w:r>
      <w:r w:rsidRPr="00551D7F">
        <w:t xml:space="preserve"> see http://efs.tki.org.nz/EfS-in-the-curriculum/Taking-action/Action-competence</w:t>
      </w:r>
    </w:p>
  </w:footnote>
  <w:footnote w:id="4">
    <w:p w14:paraId="323EE9E1" w14:textId="77777777" w:rsidR="003F6FC4" w:rsidRDefault="003F6FC4" w:rsidP="005E4C24">
      <w:pPr>
        <w:pStyle w:val="FootnoteText"/>
        <w:ind w:left="357" w:hanging="357"/>
      </w:pPr>
      <w:r w:rsidRPr="00551D7F">
        <w:rPr>
          <w:rStyle w:val="FootnoteReference"/>
          <w:rFonts w:cs="Tahoma"/>
        </w:rPr>
        <w:footnoteRef/>
      </w:r>
      <w:r w:rsidRPr="00551D7F">
        <w:t xml:space="preserve"> </w:t>
      </w:r>
      <w:r>
        <w:tab/>
      </w:r>
      <w:r w:rsidRPr="00551D7F">
        <w:t>For more information</w:t>
      </w:r>
      <w:r>
        <w:t>,</w:t>
      </w:r>
      <w:r w:rsidRPr="00551D7F">
        <w:t xml:space="preserve"> see http://seniorsecondary.tki.org.nz/Social-sciences/Education-for-sustainability/key...</w:t>
      </w:r>
    </w:p>
  </w:footnote>
  <w:footnote w:id="5">
    <w:p w14:paraId="329F2592" w14:textId="77777777" w:rsidR="003F6FC4" w:rsidRDefault="003F6FC4" w:rsidP="005E4C24">
      <w:pPr>
        <w:pStyle w:val="FootnoteText"/>
      </w:pPr>
      <w:r w:rsidRPr="00551D7F">
        <w:rPr>
          <w:rStyle w:val="FootnoteReference"/>
          <w:rFonts w:cs="Tahoma"/>
        </w:rPr>
        <w:footnoteRef/>
      </w:r>
      <w:r>
        <w:tab/>
      </w:r>
      <w:r w:rsidRPr="00551D7F">
        <w:t>For more information</w:t>
      </w:r>
      <w:r>
        <w:t>,</w:t>
      </w:r>
      <w:r w:rsidRPr="00551D7F">
        <w:t xml:space="preserve"> see www.teara.govt.nz/en/papatuanuku-the-land/1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E4C24"/>
    <w:rsid w:val="003F6FC4"/>
    <w:rsid w:val="004370A5"/>
    <w:rsid w:val="005E4C24"/>
    <w:rsid w:val="006A42CF"/>
    <w:rsid w:val="006E1949"/>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3DC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C24"/>
    <w:rPr>
      <w:rFonts w:eastAsiaTheme="minorEastAsia"/>
      <w:lang w:val="en-US" w:bidi="en-US"/>
    </w:rPr>
  </w:style>
  <w:style w:type="paragraph" w:styleId="Heading2">
    <w:name w:val="heading 2"/>
    <w:basedOn w:val="Normal"/>
    <w:next w:val="Normal"/>
    <w:link w:val="Heading2Char"/>
    <w:uiPriority w:val="9"/>
    <w:unhideWhenUsed/>
    <w:qFormat/>
    <w:rsid w:val="005E4C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E4C24"/>
    <w:rPr>
      <w:rFonts w:asciiTheme="majorHAnsi" w:eastAsiaTheme="majorEastAsia" w:hAnsiTheme="majorHAnsi" w:cstheme="majorBidi"/>
      <w:b/>
      <w:bCs/>
      <w:color w:val="4F81BD" w:themeColor="accent1"/>
      <w:sz w:val="26"/>
      <w:szCs w:val="26"/>
      <w:lang w:val="en-US" w:bidi="en-US"/>
    </w:rPr>
  </w:style>
  <w:style w:type="paragraph" w:styleId="FootnoteText">
    <w:name w:val="footnote text"/>
    <w:basedOn w:val="Normal"/>
    <w:link w:val="FootnoteTextChar"/>
    <w:uiPriority w:val="99"/>
    <w:semiHidden/>
    <w:rsid w:val="005E4C24"/>
    <w:rPr>
      <w:sz w:val="20"/>
      <w:szCs w:val="20"/>
      <w:lang w:val="en-AU"/>
    </w:rPr>
  </w:style>
  <w:style w:type="character" w:customStyle="1" w:styleId="FootnoteTextChar">
    <w:name w:val="Footnote Text Char"/>
    <w:basedOn w:val="DefaultParagraphFont"/>
    <w:link w:val="FootnoteText"/>
    <w:uiPriority w:val="99"/>
    <w:semiHidden/>
    <w:rsid w:val="005E4C24"/>
    <w:rPr>
      <w:rFonts w:eastAsiaTheme="minorEastAsia"/>
      <w:sz w:val="20"/>
      <w:szCs w:val="20"/>
      <w:lang w:val="en-AU" w:bidi="en-US"/>
    </w:rPr>
  </w:style>
  <w:style w:type="character" w:styleId="FootnoteReference">
    <w:name w:val="footnote reference"/>
    <w:basedOn w:val="DefaultParagraphFont"/>
    <w:uiPriority w:val="99"/>
    <w:semiHidden/>
    <w:rsid w:val="005E4C24"/>
    <w:rPr>
      <w:rFonts w:cs="Times New Roman"/>
      <w:vertAlign w:val="superscript"/>
    </w:rPr>
  </w:style>
  <w:style w:type="paragraph" w:styleId="Title">
    <w:name w:val="Title"/>
    <w:basedOn w:val="Normal"/>
    <w:next w:val="Normal"/>
    <w:link w:val="TitleChar"/>
    <w:uiPriority w:val="10"/>
    <w:qFormat/>
    <w:rsid w:val="005E4C2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E4C24"/>
    <w:rPr>
      <w:rFonts w:asciiTheme="majorHAnsi" w:eastAsiaTheme="majorEastAsia" w:hAnsiTheme="majorHAnsi" w:cstheme="majorBidi"/>
      <w:color w:val="17365D" w:themeColor="text2" w:themeShade="BF"/>
      <w:spacing w:val="5"/>
      <w:kern w:val="28"/>
      <w:sz w:val="52"/>
      <w:szCs w:val="52"/>
      <w:lang w:val="en-US" w:bidi="en-US"/>
    </w:rPr>
  </w:style>
  <w:style w:type="paragraph" w:styleId="Header">
    <w:name w:val="header"/>
    <w:basedOn w:val="Normal"/>
    <w:link w:val="HeaderChar"/>
    <w:uiPriority w:val="99"/>
    <w:unhideWhenUsed/>
    <w:rsid w:val="003F6FC4"/>
    <w:pPr>
      <w:tabs>
        <w:tab w:val="center" w:pos="4320"/>
        <w:tab w:val="right" w:pos="8640"/>
      </w:tabs>
      <w:spacing w:after="0" w:line="240" w:lineRule="auto"/>
    </w:pPr>
  </w:style>
  <w:style w:type="character" w:customStyle="1" w:styleId="HeaderChar">
    <w:name w:val="Header Char"/>
    <w:basedOn w:val="DefaultParagraphFont"/>
    <w:link w:val="Header"/>
    <w:uiPriority w:val="99"/>
    <w:rsid w:val="003F6FC4"/>
    <w:rPr>
      <w:rFonts w:eastAsiaTheme="minorEastAsia"/>
      <w:lang w:val="en-US" w:bidi="en-US"/>
    </w:rPr>
  </w:style>
  <w:style w:type="paragraph" w:styleId="Footer">
    <w:name w:val="footer"/>
    <w:basedOn w:val="Normal"/>
    <w:link w:val="FooterChar"/>
    <w:uiPriority w:val="99"/>
    <w:unhideWhenUsed/>
    <w:rsid w:val="003F6FC4"/>
    <w:pPr>
      <w:tabs>
        <w:tab w:val="center" w:pos="4320"/>
        <w:tab w:val="right" w:pos="8640"/>
      </w:tabs>
      <w:spacing w:after="0" w:line="240" w:lineRule="auto"/>
    </w:pPr>
  </w:style>
  <w:style w:type="character" w:customStyle="1" w:styleId="FooterChar">
    <w:name w:val="Footer Char"/>
    <w:basedOn w:val="DefaultParagraphFont"/>
    <w:link w:val="Footer"/>
    <w:uiPriority w:val="99"/>
    <w:rsid w:val="003F6FC4"/>
    <w:rPr>
      <w:rFonts w:eastAsiaTheme="minorEastAsia"/>
      <w:lang w:val="en-US" w:bidi="en-US"/>
    </w:rPr>
  </w:style>
  <w:style w:type="character" w:styleId="PageNumber">
    <w:name w:val="page number"/>
    <w:basedOn w:val="DefaultParagraphFont"/>
    <w:uiPriority w:val="99"/>
    <w:semiHidden/>
    <w:unhideWhenUsed/>
    <w:rsid w:val="003F6FC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634</Words>
  <Characters>3616</Characters>
  <Application>Microsoft Macintosh Word</Application>
  <DocSecurity>0</DocSecurity>
  <Lines>30</Lines>
  <Paragraphs>8</Paragraphs>
  <ScaleCrop>false</ScaleCrop>
  <Company/>
  <LinksUpToDate>false</LinksUpToDate>
  <CharactersWithSpaces>4242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dc:creator>
  <cp:lastModifiedBy>Ministry of Education</cp:lastModifiedBy>
  <cp:revision>2</cp:revision>
  <cp:lastPrinted>2012-03-20T01:06:00Z</cp:lastPrinted>
  <dcterms:created xsi:type="dcterms:W3CDTF">2011-07-18T04:43:00Z</dcterms:created>
  <dcterms:modified xsi:type="dcterms:W3CDTF">2012-03-20T01:20:00Z</dcterms:modified>
</cp:coreProperties>
</file>